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54"/>
          <w:szCs w:val="5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54"/>
          <w:szCs w:val="54"/>
          <w:lang w:val="en-US" w:eastAsia="zh-CN"/>
        </w:rPr>
        <w:t>吕晓芳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C131D"/>
          <w:spacing w:val="0"/>
          <w:sz w:val="54"/>
          <w:szCs w:val="5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C131D"/>
          <w:spacing w:val="0"/>
          <w:sz w:val="54"/>
          <w:szCs w:val="5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C131D"/>
          <w:spacing w:val="0"/>
          <w:sz w:val="54"/>
          <w:szCs w:val="54"/>
          <w:lang w:eastAsia="zh-CN"/>
        </w:rPr>
        <w:drawing>
          <wp:inline distT="0" distB="0" distL="114300" distR="114300">
            <wp:extent cx="2550160" cy="2126615"/>
            <wp:effectExtent l="0" t="0" r="2540" b="6985"/>
            <wp:docPr id="6" name="图片 6" descr="D:/photo/微信图片_20231220114310.jpg微信图片_20231220114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/photo/微信图片_20231220114310.jpg微信图片_20231220114310"/>
                    <pic:cNvPicPr>
                      <a:picLocks noChangeAspect="1"/>
                    </pic:cNvPicPr>
                  </pic:nvPicPr>
                  <pic:blipFill>
                    <a:blip r:embed="rId4"/>
                    <a:srcRect t="15214" b="15214"/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50" w:lineRule="atLeast"/>
        <w:ind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  <w:t>毕业于大连外国语大学，曾任职于东软集团、佳能集团，具有十年以上IT行业从业背景。2019年加入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  <w:t>北京市大瀚律师事务所。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50" w:lineRule="atLeast"/>
        <w:ind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  <w:t>主要执业领域：民商事诉讼与仲裁，刑事辩护与代理。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50" w:lineRule="atLeast"/>
        <w:ind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  <w:t>民商业务：房地产纠纷、建设工程施工合同纠纷、股权纠纷、民间借贷纠纷及其他民商事诉讼业务。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50" w:lineRule="atLeast"/>
        <w:ind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  <w:t>刑事业务： 职务犯罪，涉黑涉恶案件，刑事申诉等。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50" w:lineRule="atLeast"/>
        <w:ind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  <w:t>工作语言：中文，日文，英文。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50" w:lineRule="atLeast"/>
        <w:ind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  <w:t>邮箱：lv_fang919@163.com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50" w:lineRule="atLeast"/>
        <w:ind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  <w:t>部分案例：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50" w:lineRule="atLeast"/>
        <w:ind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  <w:t>王某某与某能源集团公司租赁合同纠纷案（内蒙高院抗诉改判）；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50" w:lineRule="atLeast"/>
        <w:ind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  <w:t>刘某等人所有权确认纠纷案（北京高院抗诉改判）；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50" w:lineRule="atLeast"/>
        <w:ind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val="en-US" w:eastAsia="zh-CN"/>
        </w:rPr>
        <w:t>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  <w:t>某某等人股权转让纠纷案（最高院审理）；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50" w:lineRule="atLeast"/>
        <w:ind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  <w:t>洛阳某建筑公司建设工程施工合同纠纷案（最高院审理）；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50" w:lineRule="atLeast"/>
        <w:ind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  <w:t>湖北某置业公司与刘某某等房地产开发经营合同纠纷案（最高院审理）；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50" w:lineRule="atLeast"/>
        <w:ind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  <w:t>马某某组织领导黑社会罪案（安徽高院二审改判）；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50" w:lineRule="atLeast"/>
        <w:ind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  <w:t>王某与北京某集团混凝土公司合同纠纷案（北京三中院二审改判）；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  <w:t>周某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val="en-US" w:eastAsia="zh-CN"/>
        </w:rPr>
        <w:t>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eastAsia="zh-CN"/>
        </w:rPr>
        <w:t>民间借贷纠纷案（徐州中院发回重审二审胜诉）；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D4D"/>
          <w:spacing w:val="0"/>
          <w:sz w:val="25"/>
          <w:szCs w:val="25"/>
          <w:shd w:val="clear" w:fill="ECECEC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31BBE5"/>
    <w:multiLevelType w:val="multilevel"/>
    <w:tmpl w:val="2131BBE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ODYyYTUwYjQ2NDU0NGZhNTA3MzQ1ZTBlNTZiMjkifQ=="/>
  </w:docVars>
  <w:rsids>
    <w:rsidRoot w:val="00000000"/>
    <w:rsid w:val="019905AE"/>
    <w:rsid w:val="0BA548DE"/>
    <w:rsid w:val="24C751BD"/>
    <w:rsid w:val="40493C6D"/>
    <w:rsid w:val="5270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2023-12-03T07:05:00Z</dcterms:created>
  <dc:creator>Administrator</dc:creator>
  <cp:lastModifiedBy>芳芳@依撒伯尔</cp:lastModifiedBy>
  <dcterms:modified xsi:type="dcterms:W3CDTF">2023-12-20T05:23:40Z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83A41C42D7E346C789D7676855F680B4_13</vt:lpwstr>
  </property>
</Properties>
</file>